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napToGrid w:val="0"/>
        <w:jc w:val="center"/>
        <w:rPr>
          <w:b/>
          <w:bCs w:val="0"/>
          <w:sz w:val="36"/>
          <w:szCs w:val="36"/>
          <w:lang w:val="en-US"/>
        </w:rPr>
      </w:pPr>
      <w:r>
        <w:rPr>
          <w:b/>
          <w:bCs w:val="0"/>
          <w:sz w:val="36"/>
          <w:szCs w:val="36"/>
          <w:lang w:eastAsia="zh-CN"/>
        </w:rPr>
        <w:t>福建省人民政府批转省土地局、省财政厅、</w:t>
      </w:r>
    </w:p>
    <w:p>
      <w:pPr>
        <w:pStyle w:val="2"/>
        <w:widowControl/>
        <w:snapToGrid w:val="0"/>
        <w:jc w:val="center"/>
        <w:rPr>
          <w:b/>
          <w:bCs w:val="0"/>
          <w:sz w:val="36"/>
          <w:szCs w:val="36"/>
          <w:lang w:val="en-US"/>
        </w:rPr>
      </w:pPr>
      <w:r>
        <w:rPr>
          <w:b/>
          <w:bCs w:val="0"/>
          <w:sz w:val="36"/>
          <w:szCs w:val="36"/>
          <w:lang w:eastAsia="zh-CN"/>
        </w:rPr>
        <w:t>省物委关于福建省耕地开垦费征</w:t>
      </w:r>
      <w:bookmarkStart w:id="0" w:name="_GoBack"/>
      <w:bookmarkEnd w:id="0"/>
    </w:p>
    <w:p>
      <w:pPr>
        <w:pStyle w:val="2"/>
        <w:widowControl/>
        <w:snapToGrid w:val="0"/>
        <w:jc w:val="center"/>
        <w:rPr>
          <w:b/>
          <w:bCs w:val="0"/>
          <w:sz w:val="36"/>
          <w:szCs w:val="36"/>
          <w:lang w:val="en-US"/>
        </w:rPr>
      </w:pPr>
      <w:r>
        <w:rPr>
          <w:b/>
          <w:bCs w:val="0"/>
          <w:sz w:val="36"/>
          <w:szCs w:val="36"/>
          <w:lang w:eastAsia="zh-CN"/>
        </w:rPr>
        <w:t>收和使用规定的通知</w:t>
      </w:r>
    </w:p>
    <w:p>
      <w:pPr>
        <w:pStyle w:val="2"/>
        <w:widowControl/>
        <w:snapToGrid w:val="0"/>
        <w:jc w:val="center"/>
        <w:rPr>
          <w:sz w:val="28"/>
          <w:szCs w:val="28"/>
          <w:lang w:val="en-US"/>
        </w:rPr>
      </w:pPr>
      <w:r>
        <w:rPr>
          <w:sz w:val="28"/>
          <w:szCs w:val="28"/>
          <w:lang w:val="en-US"/>
        </w:rPr>
        <w:t> </w:t>
      </w:r>
    </w:p>
    <w:p>
      <w:pPr>
        <w:pStyle w:val="2"/>
        <w:widowControl/>
        <w:snapToGrid w:val="0"/>
        <w:jc w:val="center"/>
        <w:rPr>
          <w:sz w:val="28"/>
          <w:szCs w:val="28"/>
          <w:lang w:val="en-US"/>
        </w:rPr>
      </w:pPr>
      <w:r>
        <w:rPr>
          <w:sz w:val="28"/>
          <w:szCs w:val="28"/>
          <w:lang w:eastAsia="zh-CN"/>
        </w:rPr>
        <w:t>闽政［</w:t>
      </w:r>
      <w:r>
        <w:rPr>
          <w:sz w:val="28"/>
          <w:szCs w:val="28"/>
          <w:lang w:val="en-US"/>
        </w:rPr>
        <w:t xml:space="preserve">2000］文98号 </w:t>
      </w:r>
    </w:p>
    <w:p>
      <w:pPr>
        <w:pStyle w:val="2"/>
        <w:widowControl/>
        <w:snapToGrid w:val="0"/>
        <w:jc w:val="center"/>
        <w:rPr>
          <w:sz w:val="28"/>
          <w:szCs w:val="28"/>
          <w:lang w:val="en-US"/>
        </w:rPr>
      </w:pPr>
      <w:r>
        <w:rPr>
          <w:sz w:val="28"/>
          <w:szCs w:val="28"/>
          <w:lang w:val="en-US"/>
        </w:rPr>
        <w:t> </w:t>
      </w:r>
    </w:p>
    <w:p>
      <w:pPr>
        <w:pStyle w:val="2"/>
        <w:widowControl/>
        <w:snapToGrid w:val="0"/>
        <w:rPr>
          <w:sz w:val="28"/>
          <w:szCs w:val="28"/>
          <w:lang w:val="en-US"/>
        </w:rPr>
      </w:pPr>
      <w:r>
        <w:rPr>
          <w:sz w:val="28"/>
          <w:szCs w:val="28"/>
          <w:lang w:eastAsia="zh-CN"/>
        </w:rPr>
        <w:t>宁德地区行政公署，各市、县</w:t>
      </w:r>
      <w:r>
        <w:rPr>
          <w:sz w:val="28"/>
          <w:szCs w:val="28"/>
          <w:lang w:val="en-US"/>
        </w:rPr>
        <w:t xml:space="preserve">(区)人民政府，省政府各部门、各直属机构，各大企业，各高等院校：    </w:t>
      </w:r>
    </w:p>
    <w:p>
      <w:pPr>
        <w:pStyle w:val="2"/>
        <w:widowControl/>
        <w:snapToGrid w:val="0"/>
        <w:ind w:left="0" w:firstLine="560" w:firstLineChars="200"/>
        <w:rPr>
          <w:sz w:val="28"/>
          <w:szCs w:val="28"/>
          <w:lang w:val="en-US"/>
        </w:rPr>
      </w:pPr>
      <w:r>
        <w:rPr>
          <w:sz w:val="28"/>
          <w:szCs w:val="28"/>
          <w:lang w:eastAsia="zh-CN"/>
        </w:rPr>
        <w:t>为保证我省耕地总量动态平衡目标的实现，去年</w:t>
      </w:r>
      <w:r>
        <w:rPr>
          <w:sz w:val="28"/>
          <w:szCs w:val="28"/>
          <w:lang w:val="en-US"/>
        </w:rPr>
        <w:t xml:space="preserve">9月省政府办公厅转发了省土地局、省财政厅制定的《福建省耕地开垦费征收和使用暂行规定》(闽政办［1999］171号)，明确了耕地开垦费征收标准、范围及拨补办法。此后，国家财政部和国土资源部联合发出了《新增建设用地土地有偿使用费收缴使用管理办法》(财综字［1999］117号)，对土地有偿使用费的征收作了规定。两个文件下发执行过程中，各地普遍反映征收标准过高，加大了建设项目投资负担，不利于我省的经济建设。为此，省土地局、省财政厅会同省物委根据我省耕地占补平衡的任务要求和耕地开发成本测算，对原耕地开垦费的征收及拨补标准作了相应的调整。  </w:t>
      </w:r>
    </w:p>
    <w:p>
      <w:pPr>
        <w:pStyle w:val="2"/>
        <w:widowControl/>
        <w:snapToGrid w:val="0"/>
        <w:ind w:left="0" w:firstLine="560" w:firstLineChars="200"/>
        <w:rPr>
          <w:sz w:val="28"/>
          <w:szCs w:val="28"/>
          <w:lang w:val="en-US"/>
        </w:rPr>
      </w:pPr>
      <w:r>
        <w:rPr>
          <w:sz w:val="28"/>
          <w:szCs w:val="28"/>
          <w:lang w:val="en-US"/>
        </w:rPr>
        <w:t xml:space="preserve">    经研究，同意省土地局、省财政厅、省物委《关于福建省耕地开垦费征收和使用规定》，现转发给你们，请认真遵照执行。本通知下发后停止执行闽政办［1999］171号文件。在本通知下发前建设单位已按原规定标准缴交的耕地开垦费不变。</w:t>
      </w:r>
    </w:p>
    <w:p>
      <w:pPr>
        <w:pStyle w:val="2"/>
        <w:widowControl/>
        <w:snapToGrid w:val="0"/>
        <w:ind w:left="0" w:right="420" w:firstLine="560" w:firstLineChars="200"/>
        <w:jc w:val="right"/>
        <w:rPr>
          <w:sz w:val="28"/>
          <w:szCs w:val="28"/>
          <w:lang w:val="en-US"/>
        </w:rPr>
      </w:pPr>
      <w:r>
        <w:rPr>
          <w:sz w:val="28"/>
          <w:szCs w:val="28"/>
          <w:lang w:eastAsia="zh-CN"/>
        </w:rPr>
        <w:t>福建省人民政府</w:t>
      </w:r>
    </w:p>
    <w:p>
      <w:pPr>
        <w:pStyle w:val="2"/>
        <w:widowControl/>
        <w:snapToGrid w:val="0"/>
        <w:ind w:left="0" w:firstLine="560" w:firstLineChars="200"/>
        <w:jc w:val="right"/>
        <w:rPr>
          <w:sz w:val="28"/>
          <w:szCs w:val="28"/>
          <w:lang w:val="en-US"/>
        </w:rPr>
      </w:pPr>
      <w:r>
        <w:rPr>
          <w:sz w:val="28"/>
          <w:szCs w:val="28"/>
          <w:lang w:eastAsia="zh-CN"/>
        </w:rPr>
        <w:t>二○○○年三月二十九日</w:t>
      </w:r>
    </w:p>
    <w:p>
      <w:pPr>
        <w:pStyle w:val="2"/>
        <w:widowControl/>
        <w:snapToGrid w:val="0"/>
        <w:jc w:val="center"/>
        <w:rPr>
          <w:b/>
          <w:bCs w:val="0"/>
          <w:sz w:val="36"/>
          <w:szCs w:val="36"/>
          <w:lang w:val="en-US"/>
        </w:rPr>
      </w:pPr>
      <w:r>
        <w:rPr>
          <w:b/>
          <w:bCs w:val="0"/>
          <w:sz w:val="36"/>
          <w:szCs w:val="36"/>
          <w:lang w:eastAsia="zh-CN"/>
        </w:rPr>
        <w:t>省土地局 省财政厅 省物委</w:t>
      </w:r>
    </w:p>
    <w:p>
      <w:pPr>
        <w:pStyle w:val="2"/>
        <w:widowControl/>
        <w:snapToGrid w:val="0"/>
        <w:jc w:val="center"/>
        <w:rPr>
          <w:b/>
          <w:bCs w:val="0"/>
          <w:sz w:val="36"/>
          <w:szCs w:val="36"/>
          <w:lang w:val="en-US"/>
        </w:rPr>
      </w:pPr>
      <w:r>
        <w:rPr>
          <w:b/>
          <w:bCs w:val="0"/>
          <w:sz w:val="36"/>
          <w:szCs w:val="36"/>
          <w:lang w:eastAsia="zh-CN"/>
        </w:rPr>
        <w:t>关于福建省耕地开垦费征收和使用规定</w:t>
      </w:r>
    </w:p>
    <w:p>
      <w:pPr>
        <w:pStyle w:val="2"/>
        <w:widowControl/>
        <w:snapToGrid w:val="0"/>
        <w:jc w:val="center"/>
        <w:rPr>
          <w:b/>
          <w:bCs w:val="0"/>
          <w:sz w:val="36"/>
          <w:szCs w:val="36"/>
          <w:lang w:val="en-US"/>
        </w:rPr>
      </w:pPr>
      <w:r>
        <w:rPr>
          <w:b/>
          <w:bCs w:val="0"/>
          <w:sz w:val="36"/>
          <w:szCs w:val="36"/>
          <w:lang w:val="en-US"/>
        </w:rPr>
        <w:t> </w:t>
      </w:r>
    </w:p>
    <w:p>
      <w:pPr>
        <w:pStyle w:val="2"/>
        <w:widowControl/>
        <w:snapToGrid w:val="0"/>
        <w:ind w:left="0" w:firstLine="560" w:firstLineChars="200"/>
        <w:rPr>
          <w:sz w:val="28"/>
          <w:szCs w:val="28"/>
          <w:lang w:val="en-US"/>
        </w:rPr>
      </w:pPr>
      <w:r>
        <w:rPr>
          <w:sz w:val="28"/>
          <w:szCs w:val="28"/>
          <w:lang w:eastAsia="zh-CN"/>
        </w:rPr>
        <w:t>为加强耕地开垦费的征收、使用管理，确保耕地开发资金的使用效益，实现我省耕地总量动态平衡的目标，根据《中华人民共和国土地管理法》第三十一条的规定，制定本规定。</w:t>
      </w:r>
      <w:r>
        <w:rPr>
          <w:sz w:val="28"/>
          <w:szCs w:val="28"/>
          <w:lang w:val="en-US"/>
        </w:rPr>
        <w:t xml:space="preserve">    </w:t>
      </w:r>
    </w:p>
    <w:p>
      <w:pPr>
        <w:pStyle w:val="2"/>
        <w:widowControl/>
        <w:snapToGrid w:val="0"/>
        <w:ind w:left="0" w:firstLine="562" w:firstLineChars="200"/>
        <w:rPr>
          <w:rFonts w:hint="eastAsia" w:ascii="黑体" w:hAnsi="宋体" w:eastAsia="黑体" w:cs="黑体"/>
          <w:b/>
          <w:bCs w:val="0"/>
          <w:sz w:val="28"/>
          <w:szCs w:val="28"/>
          <w:lang w:val="en-US"/>
        </w:rPr>
      </w:pPr>
      <w:r>
        <w:rPr>
          <w:rFonts w:hint="eastAsia" w:ascii="黑体" w:hAnsi="宋体" w:eastAsia="黑体" w:cs="黑体"/>
          <w:b/>
          <w:bCs w:val="0"/>
          <w:sz w:val="28"/>
          <w:szCs w:val="28"/>
          <w:lang w:eastAsia="zh-CN"/>
        </w:rPr>
        <w:t>一、耕地开垦费的征收</w:t>
      </w:r>
      <w:r>
        <w:rPr>
          <w:rFonts w:hint="eastAsia" w:ascii="黑体" w:hAnsi="宋体" w:eastAsia="黑体" w:cs="黑体"/>
          <w:b/>
          <w:bCs w:val="0"/>
          <w:sz w:val="28"/>
          <w:szCs w:val="28"/>
          <w:lang w:val="en-US"/>
        </w:rPr>
        <w:t xml:space="preserve">    </w:t>
      </w:r>
    </w:p>
    <w:p>
      <w:pPr>
        <w:pStyle w:val="2"/>
        <w:widowControl/>
        <w:snapToGrid w:val="0"/>
        <w:ind w:left="0" w:firstLine="560" w:firstLineChars="200"/>
        <w:rPr>
          <w:sz w:val="28"/>
          <w:szCs w:val="28"/>
          <w:lang w:val="en-US"/>
        </w:rPr>
      </w:pPr>
      <w:r>
        <w:rPr>
          <w:sz w:val="28"/>
          <w:szCs w:val="28"/>
          <w:lang w:eastAsia="zh-CN"/>
        </w:rPr>
        <w:t>非农业建设经有权机关批准占用耕地的，由省土地行政主管部门在办理具体手续时，向占用耕地的建设单位按下表所列的标准收取耕地开垦费：</w:t>
      </w:r>
    </w:p>
    <w:p>
      <w:pPr>
        <w:pStyle w:val="2"/>
        <w:widowControl/>
        <w:snapToGrid w:val="0"/>
        <w:jc w:val="center"/>
        <w:rPr>
          <w:rFonts w:hint="eastAsia" w:ascii="黑体" w:hAnsi="宋体" w:eastAsia="黑体" w:cs="黑体"/>
          <w:b/>
          <w:bCs w:val="0"/>
          <w:sz w:val="28"/>
          <w:szCs w:val="28"/>
          <w:lang w:val="en-US"/>
        </w:rPr>
      </w:pPr>
      <w:r>
        <w:rPr>
          <w:rFonts w:hint="eastAsia" w:ascii="黑体" w:hAnsi="宋体" w:eastAsia="黑体" w:cs="黑体"/>
          <w:b/>
          <w:bCs w:val="0"/>
          <w:sz w:val="28"/>
          <w:szCs w:val="28"/>
          <w:lang w:eastAsia="zh-CN"/>
        </w:rPr>
        <w:t>耕地开垦费分类征收标准表</w:t>
      </w:r>
    </w:p>
    <w:p>
      <w:pPr>
        <w:pStyle w:val="2"/>
        <w:widowControl/>
        <w:snapToGrid w:val="0"/>
        <w:ind w:left="0" w:firstLine="6860" w:firstLineChars="2450"/>
        <w:rPr>
          <w:sz w:val="28"/>
          <w:szCs w:val="28"/>
          <w:lang w:val="en-US"/>
        </w:rPr>
      </w:pPr>
      <w:r>
        <w:rPr>
          <w:sz w:val="28"/>
          <w:szCs w:val="28"/>
          <w:lang w:eastAsia="zh-CN"/>
        </w:rPr>
        <w:t>单位：元</w:t>
      </w:r>
      <w:r>
        <w:rPr>
          <w:sz w:val="28"/>
          <w:szCs w:val="28"/>
          <w:lang w:val="en-US"/>
        </w:rPr>
        <w:t>/平方米</w:t>
      </w:r>
    </w:p>
    <w:tbl>
      <w:tblPr>
        <w:tblW w:w="10560" w:type="dxa"/>
        <w:jc w:val="center"/>
        <w:tblInd w:w="-1019" w:type="dxa"/>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Layout w:type="fixed"/>
        <w:tblCellMar>
          <w:top w:w="0" w:type="dxa"/>
          <w:left w:w="108" w:type="dxa"/>
          <w:bottom w:w="0" w:type="dxa"/>
          <w:right w:w="108" w:type="dxa"/>
        </w:tblCellMar>
      </w:tblPr>
      <w:tblGrid>
        <w:gridCol w:w="1888"/>
        <w:gridCol w:w="1980"/>
        <w:gridCol w:w="1842"/>
        <w:gridCol w:w="1903"/>
        <w:gridCol w:w="2947"/>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shd w:val="clear"/>
          <w:tblLayout w:type="fixed"/>
          <w:tblCellMar>
            <w:top w:w="0" w:type="dxa"/>
            <w:left w:w="108" w:type="dxa"/>
            <w:bottom w:w="0" w:type="dxa"/>
            <w:right w:w="108" w:type="dxa"/>
          </w:tblCellMar>
        </w:tblPrEx>
        <w:trPr>
          <w:trHeight w:val="916" w:hRule="atLeast"/>
          <w:jc w:val="center"/>
        </w:trPr>
        <w:tc>
          <w:tcPr>
            <w:tcW w:w="1888"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1" w:after="0" w:afterAutospacing="1" w:line="260" w:lineRule="exact"/>
              <w:ind w:left="0" w:right="0"/>
              <w:jc w:val="right"/>
            </w:pPr>
            <w:r>
              <w:rPr>
                <w:rFonts w:hint="eastAsia" w:ascii="Times New Roman" w:hAnsi="Times New Roman" w:eastAsia="宋体" w:cs="宋体"/>
                <w:kern w:val="2"/>
                <w:sz w:val="21"/>
                <w:szCs w:val="24"/>
                <w:bdr w:val="none" w:color="auto" w:sz="0" w:space="0"/>
                <w:lang w:val="en-US" w:eastAsia="zh-CN" w:bidi="ar"/>
              </w:rPr>
              <w:t>人均耕地</w:t>
            </w:r>
          </w:p>
          <w:p>
            <w:pPr>
              <w:keepNext w:val="0"/>
              <w:keepLines w:val="0"/>
              <w:widowControl w:val="0"/>
              <w:suppressLineNumbers w:val="0"/>
              <w:spacing w:before="0" w:beforeAutospacing="1" w:after="0" w:afterAutospacing="1" w:line="260" w:lineRule="exact"/>
              <w:ind w:left="0" w:right="0"/>
              <w:jc w:val="center"/>
            </w:pPr>
            <w:r>
              <w:rPr>
                <w:rFonts w:hint="eastAsia" w:ascii="Times New Roman" w:hAnsi="Times New Roman" w:eastAsia="宋体" w:cs="宋体"/>
                <w:kern w:val="2"/>
                <w:sz w:val="21"/>
                <w:szCs w:val="24"/>
                <w:bdr w:val="none" w:color="auto" w:sz="0" w:space="0"/>
                <w:lang w:val="en-US" w:eastAsia="zh-CN" w:bidi="ar"/>
              </w:rPr>
              <w:t>征收标准</w:t>
            </w:r>
          </w:p>
          <w:p>
            <w:pPr>
              <w:keepNext w:val="0"/>
              <w:keepLines w:val="0"/>
              <w:widowControl w:val="0"/>
              <w:suppressLineNumbers w:val="0"/>
              <w:spacing w:before="0" w:beforeAutospacing="1" w:after="0" w:afterAutospacing="1" w:line="260" w:lineRule="exact"/>
              <w:ind w:left="0" w:right="0"/>
              <w:jc w:val="both"/>
              <w:rPr>
                <w:rFonts w:hint="eastAsia" w:ascii="宋体" w:hAnsi="宋体" w:eastAsia="宋体" w:cs="宋体"/>
                <w:sz w:val="24"/>
                <w:szCs w:val="24"/>
                <w:bdr w:val="none" w:color="auto" w:sz="0" w:space="0"/>
                <w:lang w:val="en-US"/>
              </w:rPr>
            </w:pPr>
            <w:r>
              <w:rPr>
                <w:rFonts w:hint="eastAsia" w:ascii="Times New Roman" w:hAnsi="Times New Roman" w:eastAsia="宋体" w:cs="宋体"/>
                <w:kern w:val="2"/>
                <w:sz w:val="21"/>
                <w:szCs w:val="24"/>
                <w:bdr w:val="none" w:color="auto" w:sz="0" w:space="0"/>
                <w:lang w:val="en-US" w:eastAsia="zh-CN" w:bidi="ar"/>
              </w:rPr>
              <w:t>土地类别</w:t>
            </w:r>
          </w:p>
        </w:tc>
        <w:tc>
          <w:tcPr>
            <w:tcW w:w="1980"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line="260" w:lineRule="exact"/>
              <w:ind w:left="0" w:right="0"/>
              <w:jc w:val="center"/>
            </w:pPr>
            <w:r>
              <w:rPr>
                <w:rFonts w:hint="default" w:ascii="Times New Roman" w:hAnsi="Times New Roman" w:eastAsia="宋体" w:cs="Times New Roman"/>
                <w:kern w:val="2"/>
                <w:sz w:val="21"/>
                <w:szCs w:val="24"/>
                <w:bdr w:val="none" w:color="auto" w:sz="0" w:space="0"/>
                <w:lang w:val="en-US" w:eastAsia="zh-CN" w:bidi="ar"/>
              </w:rPr>
              <w:t>200</w:t>
            </w:r>
            <w:r>
              <w:rPr>
                <w:rFonts w:hint="eastAsia" w:ascii="Times New Roman" w:hAnsi="Times New Roman" w:eastAsia="宋体" w:cs="宋体"/>
                <w:kern w:val="2"/>
                <w:sz w:val="21"/>
                <w:szCs w:val="24"/>
                <w:bdr w:val="none" w:color="auto" w:sz="0" w:space="0"/>
                <w:lang w:val="en-US" w:eastAsia="zh-CN" w:bidi="ar"/>
              </w:rPr>
              <w:t>平方米</w:t>
            </w:r>
          </w:p>
          <w:p>
            <w:pPr>
              <w:keepNext w:val="0"/>
              <w:keepLines w:val="0"/>
              <w:widowControl w:val="0"/>
              <w:suppressLineNumbers w:val="0"/>
              <w:spacing w:before="0" w:beforeAutospacing="1" w:after="0" w:afterAutospacing="1" w:line="260" w:lineRule="exact"/>
              <w:ind w:left="0" w:right="0"/>
              <w:jc w:val="center"/>
              <w:rPr>
                <w:rFonts w:hint="eastAsia" w:ascii="宋体" w:hAnsi="宋体" w:eastAsia="宋体" w:cs="宋体"/>
                <w:sz w:val="24"/>
                <w:szCs w:val="24"/>
                <w:bdr w:val="none" w:color="auto" w:sz="0" w:space="0"/>
                <w:lang w:val="en-US"/>
              </w:rPr>
            </w:pPr>
            <w:r>
              <w:rPr>
                <w:rFonts w:hint="default" w:ascii="Times New Roman" w:hAnsi="Times New Roman" w:eastAsia="宋体" w:cs="Times New Roman"/>
                <w:kern w:val="2"/>
                <w:sz w:val="21"/>
                <w:szCs w:val="24"/>
                <w:bdr w:val="none" w:color="auto" w:sz="0" w:space="0"/>
                <w:lang w:val="en-US" w:eastAsia="zh-CN" w:bidi="ar"/>
              </w:rPr>
              <w:t>(0.3)</w:t>
            </w:r>
            <w:r>
              <w:rPr>
                <w:rFonts w:hint="eastAsia" w:ascii="Times New Roman" w:hAnsi="Times New Roman" w:eastAsia="宋体" w:cs="宋体"/>
                <w:kern w:val="2"/>
                <w:sz w:val="21"/>
                <w:szCs w:val="24"/>
                <w:bdr w:val="none" w:color="auto" w:sz="0" w:space="0"/>
                <w:lang w:val="en-US" w:eastAsia="zh-CN" w:bidi="ar"/>
              </w:rPr>
              <w:t>亩以下</w:t>
            </w:r>
          </w:p>
        </w:tc>
        <w:tc>
          <w:tcPr>
            <w:tcW w:w="1842"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line="260" w:lineRule="exact"/>
              <w:ind w:left="0" w:right="0"/>
              <w:jc w:val="center"/>
            </w:pPr>
            <w:r>
              <w:rPr>
                <w:rFonts w:hint="default" w:ascii="Times New Roman" w:hAnsi="Times New Roman" w:eastAsia="宋体" w:cs="Times New Roman"/>
                <w:kern w:val="2"/>
                <w:sz w:val="21"/>
                <w:szCs w:val="24"/>
                <w:bdr w:val="none" w:color="auto" w:sz="0" w:space="0"/>
                <w:lang w:val="en-US" w:eastAsia="zh-CN" w:bidi="ar"/>
              </w:rPr>
              <w:t>200-333</w:t>
            </w:r>
            <w:r>
              <w:rPr>
                <w:rFonts w:hint="eastAsia" w:ascii="Times New Roman" w:hAnsi="Times New Roman" w:eastAsia="宋体" w:cs="宋体"/>
                <w:kern w:val="2"/>
                <w:sz w:val="21"/>
                <w:szCs w:val="24"/>
                <w:bdr w:val="none" w:color="auto" w:sz="0" w:space="0"/>
                <w:lang w:val="en-US" w:eastAsia="zh-CN" w:bidi="ar"/>
              </w:rPr>
              <w:t>平方米</w:t>
            </w:r>
          </w:p>
          <w:p>
            <w:pPr>
              <w:keepNext w:val="0"/>
              <w:keepLines w:val="0"/>
              <w:widowControl w:val="0"/>
              <w:suppressLineNumbers w:val="0"/>
              <w:spacing w:before="0" w:beforeAutospacing="1" w:after="0" w:afterAutospacing="1" w:line="260" w:lineRule="exact"/>
              <w:ind w:left="0" w:right="0"/>
              <w:jc w:val="center"/>
              <w:rPr>
                <w:rFonts w:hint="eastAsia" w:ascii="宋体" w:hAnsi="宋体" w:eastAsia="宋体" w:cs="宋体"/>
                <w:sz w:val="24"/>
                <w:szCs w:val="24"/>
                <w:bdr w:val="none" w:color="auto" w:sz="0" w:space="0"/>
                <w:lang w:val="en-US"/>
              </w:rPr>
            </w:pPr>
            <w:r>
              <w:rPr>
                <w:rFonts w:hint="default" w:ascii="Times New Roman" w:hAnsi="Times New Roman" w:eastAsia="宋体" w:cs="Times New Roman"/>
                <w:kern w:val="2"/>
                <w:sz w:val="21"/>
                <w:szCs w:val="24"/>
                <w:bdr w:val="none" w:color="auto" w:sz="0" w:space="0"/>
                <w:lang w:val="en-US" w:eastAsia="zh-CN" w:bidi="ar"/>
              </w:rPr>
              <w:t>(0.3-0.5</w:t>
            </w:r>
            <w:r>
              <w:rPr>
                <w:rFonts w:hint="eastAsia" w:ascii="Times New Roman" w:hAnsi="Times New Roman" w:eastAsia="宋体" w:cs="宋体"/>
                <w:kern w:val="2"/>
                <w:sz w:val="21"/>
                <w:szCs w:val="24"/>
                <w:bdr w:val="none" w:color="auto" w:sz="0" w:space="0"/>
                <w:lang w:val="en-US" w:eastAsia="zh-CN" w:bidi="ar"/>
              </w:rPr>
              <w:t>亩</w:t>
            </w:r>
            <w:r>
              <w:rPr>
                <w:rFonts w:hint="default" w:ascii="Times New Roman" w:hAnsi="Times New Roman" w:eastAsia="宋体" w:cs="Times New Roman"/>
                <w:kern w:val="2"/>
                <w:sz w:val="21"/>
                <w:szCs w:val="24"/>
                <w:bdr w:val="none" w:color="auto" w:sz="0" w:space="0"/>
                <w:lang w:val="en-US" w:eastAsia="zh-CN" w:bidi="ar"/>
              </w:rPr>
              <w:t>)</w:t>
            </w:r>
          </w:p>
        </w:tc>
        <w:tc>
          <w:tcPr>
            <w:tcW w:w="1903"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line="260" w:lineRule="exact"/>
              <w:ind w:left="0" w:right="0"/>
              <w:jc w:val="center"/>
            </w:pPr>
            <w:r>
              <w:rPr>
                <w:rFonts w:hint="default" w:ascii="Times New Roman" w:hAnsi="Times New Roman" w:eastAsia="宋体" w:cs="Times New Roman"/>
                <w:kern w:val="2"/>
                <w:sz w:val="21"/>
                <w:szCs w:val="24"/>
                <w:bdr w:val="none" w:color="auto" w:sz="0" w:space="0"/>
                <w:lang w:val="en-US" w:eastAsia="zh-CN" w:bidi="ar"/>
              </w:rPr>
              <w:t>333-533</w:t>
            </w:r>
            <w:r>
              <w:rPr>
                <w:rFonts w:hint="eastAsia" w:ascii="Times New Roman" w:hAnsi="Times New Roman" w:eastAsia="宋体" w:cs="宋体"/>
                <w:kern w:val="2"/>
                <w:sz w:val="21"/>
                <w:szCs w:val="24"/>
                <w:bdr w:val="none" w:color="auto" w:sz="0" w:space="0"/>
                <w:lang w:val="en-US" w:eastAsia="zh-CN" w:bidi="ar"/>
              </w:rPr>
              <w:t>平方米</w:t>
            </w:r>
          </w:p>
          <w:p>
            <w:pPr>
              <w:keepNext w:val="0"/>
              <w:keepLines w:val="0"/>
              <w:widowControl w:val="0"/>
              <w:suppressLineNumbers w:val="0"/>
              <w:spacing w:before="0" w:beforeAutospacing="1" w:after="0" w:afterAutospacing="1" w:line="260" w:lineRule="exact"/>
              <w:ind w:left="0" w:right="0"/>
              <w:jc w:val="center"/>
              <w:rPr>
                <w:rFonts w:hint="eastAsia" w:ascii="宋体" w:hAnsi="宋体" w:eastAsia="宋体" w:cs="宋体"/>
                <w:sz w:val="24"/>
                <w:szCs w:val="24"/>
                <w:bdr w:val="none" w:color="auto" w:sz="0" w:space="0"/>
                <w:lang w:val="en-US"/>
              </w:rPr>
            </w:pPr>
            <w:r>
              <w:rPr>
                <w:rFonts w:hint="default" w:ascii="Times New Roman" w:hAnsi="Times New Roman" w:eastAsia="宋体" w:cs="Times New Roman"/>
                <w:kern w:val="2"/>
                <w:sz w:val="21"/>
                <w:szCs w:val="24"/>
                <w:bdr w:val="none" w:color="auto" w:sz="0" w:space="0"/>
                <w:lang w:val="en-US" w:eastAsia="zh-CN" w:bidi="ar"/>
              </w:rPr>
              <w:t>(0.5-0.8</w:t>
            </w:r>
            <w:r>
              <w:rPr>
                <w:rFonts w:hint="eastAsia" w:ascii="Times New Roman" w:hAnsi="Times New Roman" w:eastAsia="宋体" w:cs="宋体"/>
                <w:kern w:val="2"/>
                <w:sz w:val="21"/>
                <w:szCs w:val="24"/>
                <w:bdr w:val="none" w:color="auto" w:sz="0" w:space="0"/>
                <w:lang w:val="en-US" w:eastAsia="zh-CN" w:bidi="ar"/>
              </w:rPr>
              <w:t>亩</w:t>
            </w:r>
            <w:r>
              <w:rPr>
                <w:rFonts w:hint="default" w:ascii="Times New Roman" w:hAnsi="Times New Roman" w:eastAsia="宋体" w:cs="Times New Roman"/>
                <w:kern w:val="2"/>
                <w:sz w:val="21"/>
                <w:szCs w:val="24"/>
                <w:bdr w:val="none" w:color="auto" w:sz="0" w:space="0"/>
                <w:lang w:val="en-US" w:eastAsia="zh-CN" w:bidi="ar"/>
              </w:rPr>
              <w:t>)</w:t>
            </w:r>
          </w:p>
        </w:tc>
        <w:tc>
          <w:tcPr>
            <w:tcW w:w="2947"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line="260" w:lineRule="exact"/>
              <w:ind w:left="0" w:right="0"/>
              <w:jc w:val="center"/>
            </w:pPr>
            <w:r>
              <w:rPr>
                <w:rFonts w:hint="default" w:ascii="Times New Roman" w:hAnsi="Times New Roman" w:eastAsia="宋体" w:cs="Times New Roman"/>
                <w:kern w:val="2"/>
                <w:sz w:val="21"/>
                <w:szCs w:val="24"/>
                <w:bdr w:val="none" w:color="auto" w:sz="0" w:space="0"/>
                <w:lang w:val="en-US" w:eastAsia="zh-CN" w:bidi="ar"/>
              </w:rPr>
              <w:t>533</w:t>
            </w:r>
            <w:r>
              <w:rPr>
                <w:rFonts w:hint="eastAsia" w:ascii="Times New Roman" w:hAnsi="Times New Roman" w:eastAsia="宋体" w:cs="宋体"/>
                <w:kern w:val="2"/>
                <w:sz w:val="21"/>
                <w:szCs w:val="24"/>
                <w:bdr w:val="none" w:color="auto" w:sz="0" w:space="0"/>
                <w:lang w:val="en-US" w:eastAsia="zh-CN" w:bidi="ar"/>
              </w:rPr>
              <w:t>平方米</w:t>
            </w:r>
          </w:p>
          <w:p>
            <w:pPr>
              <w:keepNext w:val="0"/>
              <w:keepLines w:val="0"/>
              <w:widowControl w:val="0"/>
              <w:suppressLineNumbers w:val="0"/>
              <w:spacing w:before="0" w:beforeAutospacing="1" w:after="0" w:afterAutospacing="1" w:line="260" w:lineRule="exact"/>
              <w:ind w:left="0" w:right="0"/>
              <w:jc w:val="center"/>
              <w:rPr>
                <w:rFonts w:hint="eastAsia" w:ascii="宋体" w:hAnsi="宋体" w:eastAsia="宋体" w:cs="宋体"/>
                <w:sz w:val="24"/>
                <w:szCs w:val="24"/>
                <w:bdr w:val="none" w:color="auto" w:sz="0" w:space="0"/>
                <w:lang w:val="en-US"/>
              </w:rPr>
            </w:pPr>
            <w:r>
              <w:rPr>
                <w:rFonts w:hint="default" w:ascii="Times New Roman" w:hAnsi="Times New Roman" w:eastAsia="宋体" w:cs="Times New Roman"/>
                <w:kern w:val="2"/>
                <w:sz w:val="21"/>
                <w:szCs w:val="24"/>
                <w:bdr w:val="none" w:color="auto" w:sz="0" w:space="0"/>
                <w:lang w:val="en-US" w:eastAsia="zh-CN" w:bidi="ar"/>
              </w:rPr>
              <w:t>(0.8</w:t>
            </w:r>
            <w:r>
              <w:rPr>
                <w:rFonts w:hint="eastAsia" w:ascii="Times New Roman" w:hAnsi="Times New Roman" w:eastAsia="宋体" w:cs="宋体"/>
                <w:kern w:val="2"/>
                <w:sz w:val="21"/>
                <w:szCs w:val="24"/>
                <w:bdr w:val="none" w:color="auto" w:sz="0" w:space="0"/>
                <w:lang w:val="en-US" w:eastAsia="zh-CN" w:bidi="ar"/>
              </w:rPr>
              <w:t>亩</w:t>
            </w:r>
            <w:r>
              <w:rPr>
                <w:rFonts w:hint="default" w:ascii="Times New Roman" w:hAnsi="Times New Roman" w:eastAsia="宋体" w:cs="Times New Roman"/>
                <w:kern w:val="2"/>
                <w:sz w:val="21"/>
                <w:szCs w:val="24"/>
                <w:bdr w:val="none" w:color="auto" w:sz="0" w:space="0"/>
                <w:lang w:val="en-US" w:eastAsia="zh-CN" w:bidi="ar"/>
              </w:rPr>
              <w:t>)</w:t>
            </w:r>
            <w:r>
              <w:rPr>
                <w:rFonts w:hint="eastAsia" w:ascii="Times New Roman" w:hAnsi="Times New Roman" w:eastAsia="宋体" w:cs="宋体"/>
                <w:kern w:val="2"/>
                <w:sz w:val="21"/>
                <w:szCs w:val="24"/>
                <w:bdr w:val="none" w:color="auto" w:sz="0" w:space="0"/>
                <w:lang w:val="en-US" w:eastAsia="zh-CN" w:bidi="ar"/>
              </w:rPr>
              <w:t>以上</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592" w:hRule="atLeast"/>
          <w:jc w:val="center"/>
        </w:trPr>
        <w:tc>
          <w:tcPr>
            <w:tcW w:w="188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ind w:left="0" w:right="0"/>
              <w:jc w:val="center"/>
              <w:rPr>
                <w:rFonts w:hint="eastAsia" w:ascii="宋体" w:hAnsi="宋体" w:eastAsia="宋体" w:cs="宋体"/>
                <w:sz w:val="24"/>
                <w:szCs w:val="24"/>
                <w:bdr w:val="none" w:color="auto" w:sz="0" w:space="0"/>
                <w:lang w:val="en-US"/>
              </w:rPr>
            </w:pPr>
            <w:r>
              <w:rPr>
                <w:rFonts w:hint="eastAsia" w:ascii="Times New Roman" w:hAnsi="Times New Roman" w:eastAsia="宋体" w:cs="宋体"/>
                <w:kern w:val="2"/>
                <w:sz w:val="21"/>
                <w:szCs w:val="24"/>
                <w:bdr w:val="none" w:color="auto" w:sz="0" w:space="0"/>
                <w:lang w:val="en-US" w:eastAsia="zh-CN" w:bidi="ar"/>
              </w:rPr>
              <w:t>水田、菜地</w:t>
            </w:r>
            <w:r>
              <w:rPr>
                <w:rFonts w:hint="default" w:ascii="Times New Roman" w:hAnsi="Times New Roman" w:eastAsia="宋体" w:cs="Times New Roman"/>
                <w:kern w:val="2"/>
                <w:sz w:val="21"/>
                <w:szCs w:val="24"/>
                <w:bdr w:val="none" w:color="auto" w:sz="0" w:space="0"/>
                <w:lang w:val="en-US" w:eastAsia="zh-CN" w:bidi="ar"/>
              </w:rPr>
              <w:t xml:space="preserve"> </w:t>
            </w:r>
            <w:r>
              <w:rPr>
                <w:rFonts w:hint="eastAsia" w:ascii="Times New Roman" w:hAnsi="Times New Roman" w:eastAsia="宋体" w:cs="宋体"/>
                <w:kern w:val="2"/>
                <w:sz w:val="21"/>
                <w:szCs w:val="24"/>
                <w:bdr w:val="none" w:color="auto" w:sz="0" w:space="0"/>
                <w:lang w:val="en-US" w:eastAsia="zh-CN" w:bidi="ar"/>
              </w:rPr>
              <w:t>鱼塘</w:t>
            </w:r>
          </w:p>
        </w:tc>
        <w:tc>
          <w:tcPr>
            <w:tcW w:w="198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15</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bdr w:val="none" w:color="auto" w:sz="0" w:space="0"/>
                <w:lang w:val="en-US"/>
              </w:rPr>
            </w:pPr>
            <w:r>
              <w:rPr>
                <w:rFonts w:hint="eastAsia" w:ascii="Times New Roman" w:hAnsi="Times New Roman" w:eastAsia="宋体" w:cs="宋体"/>
                <w:kern w:val="2"/>
                <w:sz w:val="21"/>
                <w:szCs w:val="24"/>
                <w:bdr w:val="none" w:color="auto" w:sz="0" w:space="0"/>
                <w:lang w:val="en-US" w:eastAsia="zh-CN" w:bidi="ar"/>
              </w:rPr>
              <w:t>（</w:t>
            </w:r>
            <w:r>
              <w:rPr>
                <w:rFonts w:hint="default" w:ascii="Times New Roman" w:hAnsi="Times New Roman" w:eastAsia="宋体" w:cs="Times New Roman"/>
                <w:kern w:val="2"/>
                <w:sz w:val="21"/>
                <w:szCs w:val="24"/>
                <w:bdr w:val="none" w:color="auto" w:sz="0" w:space="0"/>
                <w:lang w:val="en-US" w:eastAsia="zh-CN" w:bidi="ar"/>
              </w:rPr>
              <w:t>1.00</w:t>
            </w:r>
            <w:r>
              <w:rPr>
                <w:rFonts w:hint="eastAsia" w:ascii="Times New Roman" w:hAnsi="Times New Roman" w:eastAsia="宋体" w:cs="宋体"/>
                <w:kern w:val="2"/>
                <w:sz w:val="21"/>
                <w:szCs w:val="24"/>
                <w:bdr w:val="none" w:color="auto" w:sz="0" w:space="0"/>
                <w:lang w:val="en-US" w:eastAsia="zh-CN" w:bidi="ar"/>
              </w:rPr>
              <w:t>万元</w:t>
            </w:r>
            <w:r>
              <w:rPr>
                <w:rFonts w:hint="default" w:ascii="Times New Roman" w:hAnsi="Times New Roman" w:eastAsia="宋体" w:cs="Times New Roman"/>
                <w:kern w:val="2"/>
                <w:sz w:val="21"/>
                <w:szCs w:val="24"/>
                <w:bdr w:val="none" w:color="auto" w:sz="0" w:space="0"/>
                <w:lang w:val="en-US" w:eastAsia="zh-CN" w:bidi="ar"/>
              </w:rPr>
              <w:t>/</w:t>
            </w:r>
            <w:r>
              <w:rPr>
                <w:rFonts w:hint="eastAsia" w:ascii="Times New Roman" w:hAnsi="Times New Roman" w:eastAsia="宋体" w:cs="宋体"/>
                <w:kern w:val="2"/>
                <w:sz w:val="21"/>
                <w:szCs w:val="24"/>
                <w:bdr w:val="none" w:color="auto" w:sz="0" w:space="0"/>
                <w:lang w:val="en-US" w:eastAsia="zh-CN" w:bidi="ar"/>
              </w:rPr>
              <w:t>亩）</w:t>
            </w:r>
          </w:p>
        </w:tc>
        <w:tc>
          <w:tcPr>
            <w:tcW w:w="184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13.5</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bdr w:val="none" w:color="auto" w:sz="0" w:space="0"/>
                <w:lang w:val="en-US"/>
              </w:rPr>
            </w:pPr>
            <w:r>
              <w:rPr>
                <w:rFonts w:hint="eastAsia" w:ascii="Times New Roman" w:hAnsi="Times New Roman" w:eastAsia="宋体" w:cs="宋体"/>
                <w:kern w:val="2"/>
                <w:sz w:val="21"/>
                <w:szCs w:val="24"/>
                <w:bdr w:val="none" w:color="auto" w:sz="0" w:space="0"/>
                <w:lang w:val="en-US" w:eastAsia="zh-CN" w:bidi="ar"/>
              </w:rPr>
              <w:t>（</w:t>
            </w:r>
            <w:r>
              <w:rPr>
                <w:rFonts w:hint="default" w:ascii="Times New Roman" w:hAnsi="Times New Roman" w:eastAsia="宋体" w:cs="Times New Roman"/>
                <w:kern w:val="2"/>
                <w:sz w:val="21"/>
                <w:szCs w:val="24"/>
                <w:bdr w:val="none" w:color="auto" w:sz="0" w:space="0"/>
                <w:lang w:val="en-US" w:eastAsia="zh-CN" w:bidi="ar"/>
              </w:rPr>
              <w:t>0.90</w:t>
            </w:r>
            <w:r>
              <w:rPr>
                <w:rFonts w:hint="eastAsia" w:ascii="Times New Roman" w:hAnsi="Times New Roman" w:eastAsia="宋体" w:cs="宋体"/>
                <w:kern w:val="2"/>
                <w:sz w:val="21"/>
                <w:szCs w:val="24"/>
                <w:bdr w:val="none" w:color="auto" w:sz="0" w:space="0"/>
                <w:lang w:val="en-US" w:eastAsia="zh-CN" w:bidi="ar"/>
              </w:rPr>
              <w:t>万元</w:t>
            </w:r>
            <w:r>
              <w:rPr>
                <w:rFonts w:hint="default" w:ascii="Times New Roman" w:hAnsi="Times New Roman" w:eastAsia="宋体" w:cs="Times New Roman"/>
                <w:kern w:val="2"/>
                <w:sz w:val="21"/>
                <w:szCs w:val="24"/>
                <w:bdr w:val="none" w:color="auto" w:sz="0" w:space="0"/>
                <w:lang w:val="en-US" w:eastAsia="zh-CN" w:bidi="ar"/>
              </w:rPr>
              <w:t>/</w:t>
            </w:r>
            <w:r>
              <w:rPr>
                <w:rFonts w:hint="eastAsia" w:ascii="Times New Roman" w:hAnsi="Times New Roman" w:eastAsia="宋体" w:cs="宋体"/>
                <w:kern w:val="2"/>
                <w:sz w:val="21"/>
                <w:szCs w:val="24"/>
                <w:bdr w:val="none" w:color="auto" w:sz="0" w:space="0"/>
                <w:lang w:val="en-US" w:eastAsia="zh-CN" w:bidi="ar"/>
              </w:rPr>
              <w:t>亩）</w:t>
            </w:r>
          </w:p>
        </w:tc>
        <w:tc>
          <w:tcPr>
            <w:tcW w:w="190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12</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bdr w:val="none" w:color="auto" w:sz="0" w:space="0"/>
                <w:lang w:val="en-US"/>
              </w:rPr>
            </w:pPr>
            <w:r>
              <w:rPr>
                <w:rFonts w:hint="eastAsia" w:ascii="Times New Roman" w:hAnsi="Times New Roman" w:eastAsia="宋体" w:cs="宋体"/>
                <w:kern w:val="2"/>
                <w:sz w:val="21"/>
                <w:szCs w:val="24"/>
                <w:bdr w:val="none" w:color="auto" w:sz="0" w:space="0"/>
                <w:lang w:val="en-US" w:eastAsia="zh-CN" w:bidi="ar"/>
              </w:rPr>
              <w:t>（</w:t>
            </w:r>
            <w:r>
              <w:rPr>
                <w:rFonts w:hint="default" w:ascii="Times New Roman" w:hAnsi="Times New Roman" w:eastAsia="宋体" w:cs="Times New Roman"/>
                <w:kern w:val="2"/>
                <w:sz w:val="21"/>
                <w:szCs w:val="24"/>
                <w:bdr w:val="none" w:color="auto" w:sz="0" w:space="0"/>
                <w:lang w:val="en-US" w:eastAsia="zh-CN" w:bidi="ar"/>
              </w:rPr>
              <w:t>0.80</w:t>
            </w:r>
            <w:r>
              <w:rPr>
                <w:rFonts w:hint="eastAsia" w:ascii="Times New Roman" w:hAnsi="Times New Roman" w:eastAsia="宋体" w:cs="宋体"/>
                <w:kern w:val="2"/>
                <w:sz w:val="21"/>
                <w:szCs w:val="24"/>
                <w:bdr w:val="none" w:color="auto" w:sz="0" w:space="0"/>
                <w:lang w:val="en-US" w:eastAsia="zh-CN" w:bidi="ar"/>
              </w:rPr>
              <w:t>万元</w:t>
            </w:r>
            <w:r>
              <w:rPr>
                <w:rFonts w:hint="default" w:ascii="Times New Roman" w:hAnsi="Times New Roman" w:eastAsia="宋体" w:cs="Times New Roman"/>
                <w:kern w:val="2"/>
                <w:sz w:val="21"/>
                <w:szCs w:val="24"/>
                <w:bdr w:val="none" w:color="auto" w:sz="0" w:space="0"/>
                <w:lang w:val="en-US" w:eastAsia="zh-CN" w:bidi="ar"/>
              </w:rPr>
              <w:t>/</w:t>
            </w:r>
            <w:r>
              <w:rPr>
                <w:rFonts w:hint="eastAsia" w:ascii="Times New Roman" w:hAnsi="Times New Roman" w:eastAsia="宋体" w:cs="宋体"/>
                <w:kern w:val="2"/>
                <w:sz w:val="21"/>
                <w:szCs w:val="24"/>
                <w:bdr w:val="none" w:color="auto" w:sz="0" w:space="0"/>
                <w:lang w:val="en-US" w:eastAsia="zh-CN" w:bidi="ar"/>
              </w:rPr>
              <w:t>亩）</w:t>
            </w:r>
          </w:p>
        </w:tc>
        <w:tc>
          <w:tcPr>
            <w:tcW w:w="294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9</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bdr w:val="none" w:color="auto" w:sz="0" w:space="0"/>
                <w:lang w:val="en-US"/>
              </w:rPr>
            </w:pPr>
            <w:r>
              <w:rPr>
                <w:rFonts w:hint="eastAsia" w:ascii="Times New Roman" w:hAnsi="Times New Roman" w:eastAsia="宋体" w:cs="宋体"/>
                <w:kern w:val="2"/>
                <w:sz w:val="21"/>
                <w:szCs w:val="24"/>
                <w:bdr w:val="none" w:color="auto" w:sz="0" w:space="0"/>
                <w:lang w:val="en-US" w:eastAsia="zh-CN" w:bidi="ar"/>
              </w:rPr>
              <w:t>（</w:t>
            </w:r>
            <w:r>
              <w:rPr>
                <w:rFonts w:hint="default" w:ascii="Times New Roman" w:hAnsi="Times New Roman" w:eastAsia="宋体" w:cs="Times New Roman"/>
                <w:kern w:val="2"/>
                <w:sz w:val="21"/>
                <w:szCs w:val="24"/>
                <w:bdr w:val="none" w:color="auto" w:sz="0" w:space="0"/>
                <w:lang w:val="en-US" w:eastAsia="zh-CN" w:bidi="ar"/>
              </w:rPr>
              <w:t>0.60</w:t>
            </w:r>
            <w:r>
              <w:rPr>
                <w:rFonts w:hint="eastAsia" w:ascii="Times New Roman" w:hAnsi="Times New Roman" w:eastAsia="宋体" w:cs="宋体"/>
                <w:kern w:val="2"/>
                <w:sz w:val="21"/>
                <w:szCs w:val="24"/>
                <w:bdr w:val="none" w:color="auto" w:sz="0" w:space="0"/>
                <w:lang w:val="en-US" w:eastAsia="zh-CN" w:bidi="ar"/>
              </w:rPr>
              <w:t>万元</w:t>
            </w:r>
            <w:r>
              <w:rPr>
                <w:rFonts w:hint="default" w:ascii="Times New Roman" w:hAnsi="Times New Roman" w:eastAsia="宋体" w:cs="Times New Roman"/>
                <w:kern w:val="2"/>
                <w:sz w:val="21"/>
                <w:szCs w:val="24"/>
                <w:bdr w:val="none" w:color="auto" w:sz="0" w:space="0"/>
                <w:lang w:val="en-US" w:eastAsia="zh-CN" w:bidi="ar"/>
              </w:rPr>
              <w:t>/</w:t>
            </w:r>
            <w:r>
              <w:rPr>
                <w:rFonts w:hint="eastAsia" w:ascii="Times New Roman" w:hAnsi="Times New Roman" w:eastAsia="宋体" w:cs="宋体"/>
                <w:kern w:val="2"/>
                <w:sz w:val="21"/>
                <w:szCs w:val="24"/>
                <w:bdr w:val="none" w:color="auto" w:sz="0" w:space="0"/>
                <w:lang w:val="en-US" w:eastAsia="zh-CN" w:bidi="ar"/>
              </w:rPr>
              <w:t>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614" w:hRule="atLeast"/>
          <w:jc w:val="center"/>
        </w:trPr>
        <w:tc>
          <w:tcPr>
            <w:tcW w:w="1888" w:type="dxa"/>
            <w:tcBorders>
              <w:top w:val="single" w:color="auto" w:sz="4" w:space="0"/>
              <w:left w:val="single" w:color="auto" w:sz="4" w:space="0"/>
              <w:bottom w:val="single" w:color="auto" w:sz="4" w:space="0"/>
              <w:right w:val="single" w:color="auto" w:sz="4" w:space="0"/>
            </w:tcBorders>
            <w:shd w:val="clear"/>
            <w:vAlign w:val="center"/>
          </w:tcPr>
          <w:p>
            <w:pPr>
              <w:keepNext w:val="0"/>
              <w:keepLines w:val="0"/>
              <w:widowControl w:val="0"/>
              <w:suppressLineNumbers w:val="0"/>
              <w:spacing w:before="0" w:beforeAutospacing="1" w:after="0" w:afterAutospacing="1"/>
              <w:ind w:left="0" w:right="0"/>
              <w:jc w:val="center"/>
              <w:rPr>
                <w:rFonts w:hint="eastAsia" w:ascii="宋体" w:hAnsi="宋体" w:eastAsia="宋体" w:cs="宋体"/>
                <w:sz w:val="24"/>
                <w:szCs w:val="24"/>
                <w:bdr w:val="none" w:color="auto" w:sz="0" w:space="0"/>
                <w:lang w:val="en-US"/>
              </w:rPr>
            </w:pPr>
            <w:r>
              <w:rPr>
                <w:rFonts w:hint="eastAsia" w:ascii="Times New Roman" w:hAnsi="Times New Roman" w:eastAsia="宋体" w:cs="宋体"/>
                <w:kern w:val="2"/>
                <w:sz w:val="21"/>
                <w:szCs w:val="24"/>
                <w:bdr w:val="none" w:color="auto" w:sz="0" w:space="0"/>
                <w:lang w:val="en-US" w:eastAsia="zh-CN" w:bidi="ar"/>
              </w:rPr>
              <w:t>其他类别农田</w:t>
            </w:r>
          </w:p>
        </w:tc>
        <w:tc>
          <w:tcPr>
            <w:tcW w:w="1980"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12</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bdr w:val="none" w:color="auto" w:sz="0" w:space="0"/>
                <w:lang w:val="en-US"/>
              </w:rPr>
            </w:pPr>
            <w:r>
              <w:rPr>
                <w:rFonts w:hint="eastAsia" w:ascii="Times New Roman" w:hAnsi="Times New Roman" w:eastAsia="宋体" w:cs="宋体"/>
                <w:kern w:val="2"/>
                <w:sz w:val="21"/>
                <w:szCs w:val="24"/>
                <w:bdr w:val="none" w:color="auto" w:sz="0" w:space="0"/>
                <w:lang w:val="en-US" w:eastAsia="zh-CN" w:bidi="ar"/>
              </w:rPr>
              <w:t>（</w:t>
            </w:r>
            <w:r>
              <w:rPr>
                <w:rFonts w:hint="default" w:ascii="Times New Roman" w:hAnsi="Times New Roman" w:eastAsia="宋体" w:cs="Times New Roman"/>
                <w:kern w:val="2"/>
                <w:sz w:val="21"/>
                <w:szCs w:val="24"/>
                <w:bdr w:val="none" w:color="auto" w:sz="0" w:space="0"/>
                <w:lang w:val="en-US" w:eastAsia="zh-CN" w:bidi="ar"/>
              </w:rPr>
              <w:t>0.80</w:t>
            </w:r>
            <w:r>
              <w:rPr>
                <w:rFonts w:hint="eastAsia" w:ascii="Times New Roman" w:hAnsi="Times New Roman" w:eastAsia="宋体" w:cs="宋体"/>
                <w:kern w:val="2"/>
                <w:sz w:val="21"/>
                <w:szCs w:val="24"/>
                <w:bdr w:val="none" w:color="auto" w:sz="0" w:space="0"/>
                <w:lang w:val="en-US" w:eastAsia="zh-CN" w:bidi="ar"/>
              </w:rPr>
              <w:t>万元</w:t>
            </w:r>
            <w:r>
              <w:rPr>
                <w:rFonts w:hint="default" w:ascii="Times New Roman" w:hAnsi="Times New Roman" w:eastAsia="宋体" w:cs="Times New Roman"/>
                <w:kern w:val="2"/>
                <w:sz w:val="21"/>
                <w:szCs w:val="24"/>
                <w:bdr w:val="none" w:color="auto" w:sz="0" w:space="0"/>
                <w:lang w:val="en-US" w:eastAsia="zh-CN" w:bidi="ar"/>
              </w:rPr>
              <w:t>/</w:t>
            </w:r>
            <w:r>
              <w:rPr>
                <w:rFonts w:hint="eastAsia" w:ascii="Times New Roman" w:hAnsi="Times New Roman" w:eastAsia="宋体" w:cs="宋体"/>
                <w:kern w:val="2"/>
                <w:sz w:val="21"/>
                <w:szCs w:val="24"/>
                <w:bdr w:val="none" w:color="auto" w:sz="0" w:space="0"/>
                <w:lang w:val="en-US" w:eastAsia="zh-CN" w:bidi="ar"/>
              </w:rPr>
              <w:t>亩）</w:t>
            </w:r>
          </w:p>
        </w:tc>
        <w:tc>
          <w:tcPr>
            <w:tcW w:w="1842"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11</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bdr w:val="none" w:color="auto" w:sz="0" w:space="0"/>
                <w:lang w:val="en-US"/>
              </w:rPr>
            </w:pPr>
            <w:r>
              <w:rPr>
                <w:rFonts w:hint="eastAsia" w:ascii="Times New Roman" w:hAnsi="Times New Roman" w:eastAsia="宋体" w:cs="宋体"/>
                <w:kern w:val="2"/>
                <w:sz w:val="21"/>
                <w:szCs w:val="24"/>
                <w:bdr w:val="none" w:color="auto" w:sz="0" w:space="0"/>
                <w:lang w:val="en-US" w:eastAsia="zh-CN" w:bidi="ar"/>
              </w:rPr>
              <w:t>（</w:t>
            </w:r>
            <w:r>
              <w:rPr>
                <w:rFonts w:hint="default" w:ascii="Times New Roman" w:hAnsi="Times New Roman" w:eastAsia="宋体" w:cs="Times New Roman"/>
                <w:kern w:val="2"/>
                <w:sz w:val="21"/>
                <w:szCs w:val="24"/>
                <w:bdr w:val="none" w:color="auto" w:sz="0" w:space="0"/>
                <w:lang w:val="en-US" w:eastAsia="zh-CN" w:bidi="ar"/>
              </w:rPr>
              <w:t>0.73</w:t>
            </w:r>
            <w:r>
              <w:rPr>
                <w:rFonts w:hint="eastAsia" w:ascii="Times New Roman" w:hAnsi="Times New Roman" w:eastAsia="宋体" w:cs="宋体"/>
                <w:kern w:val="2"/>
                <w:sz w:val="21"/>
                <w:szCs w:val="24"/>
                <w:bdr w:val="none" w:color="auto" w:sz="0" w:space="0"/>
                <w:lang w:val="en-US" w:eastAsia="zh-CN" w:bidi="ar"/>
              </w:rPr>
              <w:t>万元</w:t>
            </w:r>
            <w:r>
              <w:rPr>
                <w:rFonts w:hint="default" w:ascii="Times New Roman" w:hAnsi="Times New Roman" w:eastAsia="宋体" w:cs="Times New Roman"/>
                <w:kern w:val="2"/>
                <w:sz w:val="21"/>
                <w:szCs w:val="24"/>
                <w:bdr w:val="none" w:color="auto" w:sz="0" w:space="0"/>
                <w:lang w:val="en-US" w:eastAsia="zh-CN" w:bidi="ar"/>
              </w:rPr>
              <w:t>/</w:t>
            </w:r>
            <w:r>
              <w:rPr>
                <w:rFonts w:hint="eastAsia" w:ascii="Times New Roman" w:hAnsi="Times New Roman" w:eastAsia="宋体" w:cs="宋体"/>
                <w:kern w:val="2"/>
                <w:sz w:val="21"/>
                <w:szCs w:val="24"/>
                <w:bdr w:val="none" w:color="auto" w:sz="0" w:space="0"/>
                <w:lang w:val="en-US" w:eastAsia="zh-CN" w:bidi="ar"/>
              </w:rPr>
              <w:t>亩）</w:t>
            </w:r>
          </w:p>
        </w:tc>
        <w:tc>
          <w:tcPr>
            <w:tcW w:w="1903"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9</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bdr w:val="none" w:color="auto" w:sz="0" w:space="0"/>
                <w:lang w:val="en-US"/>
              </w:rPr>
            </w:pPr>
            <w:r>
              <w:rPr>
                <w:rFonts w:hint="eastAsia" w:ascii="Times New Roman" w:hAnsi="Times New Roman" w:eastAsia="宋体" w:cs="宋体"/>
                <w:kern w:val="2"/>
                <w:sz w:val="21"/>
                <w:szCs w:val="24"/>
                <w:bdr w:val="none" w:color="auto" w:sz="0" w:space="0"/>
                <w:lang w:val="en-US" w:eastAsia="zh-CN" w:bidi="ar"/>
              </w:rPr>
              <w:t>（</w:t>
            </w:r>
            <w:r>
              <w:rPr>
                <w:rFonts w:hint="default" w:ascii="Times New Roman" w:hAnsi="Times New Roman" w:eastAsia="宋体" w:cs="Times New Roman"/>
                <w:kern w:val="2"/>
                <w:sz w:val="21"/>
                <w:szCs w:val="24"/>
                <w:bdr w:val="none" w:color="auto" w:sz="0" w:space="0"/>
                <w:lang w:val="en-US" w:eastAsia="zh-CN" w:bidi="ar"/>
              </w:rPr>
              <w:t>0.60</w:t>
            </w:r>
            <w:r>
              <w:rPr>
                <w:rFonts w:hint="eastAsia" w:ascii="Times New Roman" w:hAnsi="Times New Roman" w:eastAsia="宋体" w:cs="宋体"/>
                <w:kern w:val="2"/>
                <w:sz w:val="21"/>
                <w:szCs w:val="24"/>
                <w:bdr w:val="none" w:color="auto" w:sz="0" w:space="0"/>
                <w:lang w:val="en-US" w:eastAsia="zh-CN" w:bidi="ar"/>
              </w:rPr>
              <w:t>万元</w:t>
            </w:r>
            <w:r>
              <w:rPr>
                <w:rFonts w:hint="default" w:ascii="Times New Roman" w:hAnsi="Times New Roman" w:eastAsia="宋体" w:cs="Times New Roman"/>
                <w:kern w:val="2"/>
                <w:sz w:val="21"/>
                <w:szCs w:val="24"/>
                <w:bdr w:val="none" w:color="auto" w:sz="0" w:space="0"/>
                <w:lang w:val="en-US" w:eastAsia="zh-CN" w:bidi="ar"/>
              </w:rPr>
              <w:t>/</w:t>
            </w:r>
            <w:r>
              <w:rPr>
                <w:rFonts w:hint="eastAsia" w:ascii="Times New Roman" w:hAnsi="Times New Roman" w:eastAsia="宋体" w:cs="宋体"/>
                <w:kern w:val="2"/>
                <w:sz w:val="21"/>
                <w:szCs w:val="24"/>
                <w:bdr w:val="none" w:color="auto" w:sz="0" w:space="0"/>
                <w:lang w:val="en-US" w:eastAsia="zh-CN" w:bidi="ar"/>
              </w:rPr>
              <w:t>亩）</w:t>
            </w:r>
          </w:p>
        </w:tc>
        <w:tc>
          <w:tcPr>
            <w:tcW w:w="2947" w:type="dxa"/>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0" w:after="0" w:afterAutospacing="0"/>
              <w:ind w:left="0" w:right="0"/>
              <w:jc w:val="center"/>
            </w:pPr>
            <w:r>
              <w:rPr>
                <w:rFonts w:hint="default" w:ascii="Times New Roman" w:hAnsi="Times New Roman" w:eastAsia="宋体" w:cs="Times New Roman"/>
                <w:kern w:val="2"/>
                <w:sz w:val="21"/>
                <w:szCs w:val="24"/>
                <w:bdr w:val="none" w:color="auto" w:sz="0" w:space="0"/>
                <w:lang w:val="en-US" w:eastAsia="zh-CN" w:bidi="ar"/>
              </w:rPr>
              <w:t>6</w:t>
            </w:r>
          </w:p>
          <w:p>
            <w:pPr>
              <w:keepNext w:val="0"/>
              <w:keepLines w:val="0"/>
              <w:widowControl w:val="0"/>
              <w:suppressLineNumbers w:val="0"/>
              <w:spacing w:before="0" w:beforeAutospacing="0" w:after="0" w:afterAutospacing="0"/>
              <w:ind w:left="0" w:right="0"/>
              <w:jc w:val="both"/>
              <w:rPr>
                <w:rFonts w:hint="eastAsia" w:ascii="宋体" w:hAnsi="宋体" w:eastAsia="宋体" w:cs="宋体"/>
                <w:sz w:val="24"/>
                <w:szCs w:val="24"/>
                <w:bdr w:val="none" w:color="auto" w:sz="0" w:space="0"/>
                <w:lang w:val="en-US"/>
              </w:rPr>
            </w:pPr>
            <w:r>
              <w:rPr>
                <w:rFonts w:hint="eastAsia" w:ascii="Times New Roman" w:hAnsi="Times New Roman" w:eastAsia="宋体" w:cs="宋体"/>
                <w:kern w:val="2"/>
                <w:sz w:val="21"/>
                <w:szCs w:val="24"/>
                <w:bdr w:val="none" w:color="auto" w:sz="0" w:space="0"/>
                <w:lang w:val="en-US" w:eastAsia="zh-CN" w:bidi="ar"/>
              </w:rPr>
              <w:t>（</w:t>
            </w:r>
            <w:r>
              <w:rPr>
                <w:rFonts w:hint="default" w:ascii="Times New Roman" w:hAnsi="Times New Roman" w:eastAsia="宋体" w:cs="Times New Roman"/>
                <w:kern w:val="2"/>
                <w:sz w:val="21"/>
                <w:szCs w:val="24"/>
                <w:bdr w:val="none" w:color="auto" w:sz="0" w:space="0"/>
                <w:lang w:val="en-US" w:eastAsia="zh-CN" w:bidi="ar"/>
              </w:rPr>
              <w:t>0.40</w:t>
            </w:r>
            <w:r>
              <w:rPr>
                <w:rFonts w:hint="eastAsia" w:ascii="Times New Roman" w:hAnsi="Times New Roman" w:eastAsia="宋体" w:cs="宋体"/>
                <w:kern w:val="2"/>
                <w:sz w:val="21"/>
                <w:szCs w:val="24"/>
                <w:bdr w:val="none" w:color="auto" w:sz="0" w:space="0"/>
                <w:lang w:val="en-US" w:eastAsia="zh-CN" w:bidi="ar"/>
              </w:rPr>
              <w:t>万元</w:t>
            </w:r>
            <w:r>
              <w:rPr>
                <w:rFonts w:hint="default" w:ascii="Times New Roman" w:hAnsi="Times New Roman" w:eastAsia="宋体" w:cs="Times New Roman"/>
                <w:kern w:val="2"/>
                <w:sz w:val="21"/>
                <w:szCs w:val="24"/>
                <w:bdr w:val="none" w:color="auto" w:sz="0" w:space="0"/>
                <w:lang w:val="en-US" w:eastAsia="zh-CN" w:bidi="ar"/>
              </w:rPr>
              <w:t>/</w:t>
            </w:r>
            <w:r>
              <w:rPr>
                <w:rFonts w:hint="eastAsia" w:ascii="Times New Roman" w:hAnsi="Times New Roman" w:eastAsia="宋体" w:cs="宋体"/>
                <w:kern w:val="2"/>
                <w:sz w:val="21"/>
                <w:szCs w:val="24"/>
                <w:bdr w:val="none" w:color="auto" w:sz="0" w:space="0"/>
                <w:lang w:val="en-US" w:eastAsia="zh-CN" w:bidi="ar"/>
              </w:rPr>
              <w:t>亩）</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Ex>
        <w:trPr>
          <w:trHeight w:val="933" w:hRule="atLeast"/>
          <w:jc w:val="center"/>
        </w:trPr>
        <w:tc>
          <w:tcPr>
            <w:tcW w:w="10560" w:type="dxa"/>
            <w:gridSpan w:val="5"/>
            <w:tcBorders>
              <w:top w:val="single" w:color="auto" w:sz="4" w:space="0"/>
              <w:left w:val="single" w:color="auto" w:sz="4" w:space="0"/>
              <w:bottom w:val="single" w:color="auto" w:sz="4" w:space="0"/>
              <w:right w:val="single" w:color="auto" w:sz="4" w:space="0"/>
            </w:tcBorders>
            <w:shd w:val="clear"/>
            <w:vAlign w:val="top"/>
          </w:tcPr>
          <w:p>
            <w:pPr>
              <w:keepNext w:val="0"/>
              <w:keepLines w:val="0"/>
              <w:widowControl w:val="0"/>
              <w:suppressLineNumbers w:val="0"/>
              <w:spacing w:before="0" w:beforeAutospacing="1" w:after="0" w:afterAutospacing="1"/>
              <w:ind w:left="840" w:right="0" w:hanging="840" w:hangingChars="400"/>
              <w:jc w:val="both"/>
            </w:pPr>
            <w:r>
              <w:rPr>
                <w:rFonts w:hint="eastAsia" w:ascii="Times New Roman" w:hAnsi="Times New Roman" w:eastAsia="宋体" w:cs="宋体"/>
                <w:kern w:val="2"/>
                <w:sz w:val="21"/>
                <w:szCs w:val="24"/>
                <w:bdr w:val="none" w:color="auto" w:sz="0" w:space="0"/>
                <w:lang w:val="en-US" w:eastAsia="zh-CN" w:bidi="ar"/>
              </w:rPr>
              <w:t>附注：</w:t>
            </w:r>
            <w:r>
              <w:rPr>
                <w:rFonts w:hint="default" w:ascii="Times New Roman" w:hAnsi="Times New Roman" w:eastAsia="宋体" w:cs="Times New Roman"/>
                <w:kern w:val="2"/>
                <w:sz w:val="21"/>
                <w:szCs w:val="24"/>
                <w:bdr w:val="none" w:color="auto" w:sz="0" w:space="0"/>
                <w:lang w:val="en-US" w:eastAsia="zh-CN" w:bidi="ar"/>
              </w:rPr>
              <w:t>1 .</w:t>
            </w:r>
            <w:r>
              <w:rPr>
                <w:rFonts w:hint="eastAsia" w:ascii="Times New Roman" w:hAnsi="Times New Roman" w:eastAsia="宋体" w:cs="宋体"/>
                <w:kern w:val="2"/>
                <w:sz w:val="21"/>
                <w:szCs w:val="24"/>
                <w:bdr w:val="none" w:color="auto" w:sz="0" w:space="0"/>
                <w:lang w:val="en-US" w:eastAsia="zh-CN" w:bidi="ar"/>
              </w:rPr>
              <w:t>占用基本农田的耕地开垦费，暂按《福建省基本农田保护条例》规定执行。</w:t>
            </w:r>
          </w:p>
          <w:p>
            <w:pPr>
              <w:keepNext w:val="0"/>
              <w:keepLines w:val="0"/>
              <w:widowControl w:val="0"/>
              <w:suppressLineNumbers w:val="0"/>
              <w:spacing w:before="0" w:beforeAutospacing="1" w:after="0" w:afterAutospacing="1"/>
              <w:ind w:left="840" w:right="0" w:hanging="840" w:hangingChars="400"/>
              <w:jc w:val="both"/>
            </w:pPr>
            <w:r>
              <w:rPr>
                <w:rFonts w:hint="default" w:ascii="Times New Roman" w:hAnsi="Times New Roman" w:eastAsia="宋体" w:cs="Times New Roman"/>
                <w:kern w:val="2"/>
                <w:sz w:val="21"/>
                <w:szCs w:val="24"/>
                <w:bdr w:val="none" w:color="auto" w:sz="0" w:space="0"/>
                <w:lang w:val="en-US" w:eastAsia="zh-CN" w:bidi="ar"/>
              </w:rPr>
              <w:t xml:space="preserve">      2 .</w:t>
            </w:r>
            <w:r>
              <w:rPr>
                <w:rFonts w:hint="eastAsia" w:ascii="Times New Roman" w:hAnsi="Times New Roman" w:eastAsia="宋体" w:cs="宋体"/>
                <w:kern w:val="2"/>
                <w:sz w:val="21"/>
                <w:szCs w:val="24"/>
                <w:bdr w:val="none" w:color="auto" w:sz="0" w:space="0"/>
                <w:lang w:val="en-US" w:eastAsia="zh-CN" w:bidi="ar"/>
              </w:rPr>
              <w:t>本表“其他类别农田”是指除水田、菜地、鱼塘之外的各类耕地。</w:t>
            </w:r>
          </w:p>
          <w:p>
            <w:pPr>
              <w:keepNext w:val="0"/>
              <w:keepLines w:val="0"/>
              <w:widowControl w:val="0"/>
              <w:suppressLineNumbers w:val="0"/>
              <w:spacing w:before="0" w:beforeAutospacing="1" w:after="0" w:afterAutospacing="1"/>
              <w:ind w:left="840" w:right="0" w:hanging="840" w:hangingChars="400"/>
              <w:jc w:val="both"/>
            </w:pPr>
            <w:r>
              <w:rPr>
                <w:rFonts w:hint="default" w:ascii="Times New Roman" w:hAnsi="Times New Roman" w:eastAsia="宋体" w:cs="Times New Roman"/>
                <w:kern w:val="2"/>
                <w:sz w:val="21"/>
                <w:szCs w:val="24"/>
                <w:bdr w:val="none" w:color="auto" w:sz="0" w:space="0"/>
                <w:lang w:val="en-US" w:eastAsia="zh-CN" w:bidi="ar"/>
              </w:rPr>
              <w:t xml:space="preserve">      3 .</w:t>
            </w:r>
            <w:r>
              <w:rPr>
                <w:rFonts w:hint="eastAsia" w:ascii="Times New Roman" w:hAnsi="Times New Roman" w:eastAsia="宋体" w:cs="宋体"/>
                <w:kern w:val="2"/>
                <w:sz w:val="21"/>
                <w:szCs w:val="24"/>
                <w:bdr w:val="none" w:color="auto" w:sz="0" w:space="0"/>
                <w:lang w:val="en-US" w:eastAsia="zh-CN" w:bidi="ar"/>
              </w:rPr>
              <w:t>本表的“人均耕地”以被征土地所在县（市、区）上一年度人均耕地面积计算。</w:t>
            </w:r>
          </w:p>
          <w:p>
            <w:pPr>
              <w:keepNext w:val="0"/>
              <w:keepLines w:val="0"/>
              <w:widowControl w:val="0"/>
              <w:suppressLineNumbers w:val="0"/>
              <w:spacing w:before="0" w:beforeAutospacing="1" w:after="0" w:afterAutospacing="1"/>
              <w:ind w:left="840" w:right="0" w:hanging="840" w:hangingChars="400"/>
              <w:jc w:val="both"/>
              <w:rPr>
                <w:rFonts w:hint="eastAsia" w:ascii="宋体" w:hAnsi="宋体" w:eastAsia="宋体" w:cs="宋体"/>
                <w:sz w:val="24"/>
                <w:szCs w:val="24"/>
                <w:bdr w:val="none" w:color="auto" w:sz="0" w:space="0"/>
                <w:lang w:val="en-US"/>
              </w:rPr>
            </w:pPr>
            <w:r>
              <w:rPr>
                <w:rFonts w:hint="default" w:ascii="Times New Roman" w:hAnsi="Times New Roman" w:eastAsia="宋体" w:cs="Times New Roman"/>
                <w:kern w:val="2"/>
                <w:sz w:val="21"/>
                <w:szCs w:val="24"/>
                <w:bdr w:val="none" w:color="auto" w:sz="0" w:space="0"/>
                <w:lang w:val="en-US" w:eastAsia="zh-CN" w:bidi="ar"/>
              </w:rPr>
              <w:t xml:space="preserve">      4 .</w:t>
            </w:r>
            <w:r>
              <w:rPr>
                <w:rFonts w:hint="eastAsia" w:ascii="Times New Roman" w:hAnsi="Times New Roman" w:eastAsia="宋体" w:cs="宋体"/>
                <w:kern w:val="2"/>
                <w:sz w:val="21"/>
                <w:szCs w:val="24"/>
                <w:bdr w:val="none" w:color="auto" w:sz="0" w:space="0"/>
                <w:lang w:val="en-US" w:eastAsia="zh-CN" w:bidi="ar"/>
              </w:rPr>
              <w:t>本表的“以上”含本数，“以下”不含本数。</w:t>
            </w:r>
          </w:p>
        </w:tc>
      </w:tr>
    </w:tbl>
    <w:p>
      <w:pPr>
        <w:pStyle w:val="2"/>
        <w:widowControl/>
        <w:snapToGrid w:val="0"/>
        <w:ind w:left="0" w:firstLine="6860" w:firstLineChars="2450"/>
        <w:rPr>
          <w:sz w:val="28"/>
          <w:szCs w:val="28"/>
          <w:lang w:val="en-US"/>
        </w:rPr>
      </w:pPr>
      <w:r>
        <w:rPr>
          <w:sz w:val="28"/>
          <w:szCs w:val="28"/>
          <w:lang w:val="en-US"/>
        </w:rPr>
        <w:t> </w:t>
      </w:r>
    </w:p>
    <w:p>
      <w:pPr>
        <w:pStyle w:val="2"/>
        <w:widowControl/>
        <w:snapToGrid w:val="0"/>
        <w:ind w:left="0" w:firstLine="560" w:firstLineChars="200"/>
        <w:rPr>
          <w:sz w:val="28"/>
          <w:szCs w:val="28"/>
          <w:lang w:val="en-US"/>
        </w:rPr>
      </w:pPr>
      <w:r>
        <w:rPr>
          <w:sz w:val="28"/>
          <w:szCs w:val="28"/>
          <w:lang w:eastAsia="zh-CN"/>
        </w:rPr>
        <w:t>属国家和省重点建设的线性工程、直接为农业服务的水利工程、用于防洪的海堤河堤、教育事业的校园用地、军事设施用地以及经省科委认定的高科技企业需要占用耕地的，耕地开垦费可按上表规定标准的</w:t>
      </w:r>
      <w:r>
        <w:rPr>
          <w:sz w:val="28"/>
          <w:szCs w:val="28"/>
          <w:lang w:val="en-US"/>
        </w:rPr>
        <w:t xml:space="preserve">70%收取。属洪灾、火灾、地质灾害等不可抗力的灾害造成居民(村民)住宅损毁需要安置申请占用耕地的，经省土地行政主管部门批准，允许当地人民政府自行组织在规定的期限内开发耕地，落实“用一造一”任务，所开耕地经所在县(市、区)土地行政主管部门会同同级农业行政主管部门负责验收合格，并向省、地(市)土地行政主管部门报备的，准予免交耕地开垦费。经验收不合格的，应按规定补交耕地开垦费。    </w:t>
      </w:r>
    </w:p>
    <w:p>
      <w:pPr>
        <w:pStyle w:val="2"/>
        <w:widowControl/>
        <w:snapToGrid w:val="0"/>
        <w:ind w:left="0" w:firstLine="560" w:firstLineChars="200"/>
        <w:rPr>
          <w:sz w:val="28"/>
          <w:szCs w:val="28"/>
          <w:lang w:val="en-US"/>
        </w:rPr>
      </w:pPr>
      <w:r>
        <w:rPr>
          <w:sz w:val="28"/>
          <w:szCs w:val="28"/>
          <w:lang w:eastAsia="zh-CN"/>
        </w:rPr>
        <w:t>耕地开垦费按预算外资金管理，统一由省土地局收缴后缴存财政专户，实行收支两条线。负责收费单位必须使用省财政部门印制的收费专用票据</w:t>
      </w:r>
      <w:r>
        <w:rPr>
          <w:sz w:val="28"/>
          <w:szCs w:val="28"/>
          <w:lang w:val="en-US"/>
        </w:rPr>
        <w:t xml:space="preserve">,耕地开垦费收缴工作所需业务费用，由省财政每年从缴入本级金库的耕地开垦费中按%的比例安排，主要用于开发耕地的管理，包括开发耕地项目前期工作的审查、工程监管、竣工验收、人员培训、设备购置、经验交流、技术推广等耕地开发的业务支出以及奖励耕地开发和土地整理成绩突出的单位和个人。耕地开垦业务费的使用由土地管理部门提出用款计划，由财政部门审核后拨付使用。    </w:t>
      </w:r>
    </w:p>
    <w:p>
      <w:pPr>
        <w:pStyle w:val="2"/>
        <w:widowControl/>
        <w:snapToGrid w:val="0"/>
        <w:ind w:left="0" w:firstLine="562" w:firstLineChars="200"/>
        <w:rPr>
          <w:rFonts w:hint="eastAsia" w:ascii="黑体" w:hAnsi="宋体" w:eastAsia="黑体" w:cs="黑体"/>
          <w:b/>
          <w:bCs w:val="0"/>
          <w:sz w:val="28"/>
          <w:szCs w:val="28"/>
          <w:lang w:val="en-US"/>
        </w:rPr>
      </w:pPr>
      <w:r>
        <w:rPr>
          <w:rFonts w:hint="eastAsia" w:ascii="黑体" w:hAnsi="宋体" w:eastAsia="黑体" w:cs="黑体"/>
          <w:b/>
          <w:bCs w:val="0"/>
          <w:sz w:val="28"/>
          <w:szCs w:val="28"/>
          <w:lang w:eastAsia="zh-CN"/>
        </w:rPr>
        <w:t>二、耕地开垦费用的拨补</w:t>
      </w:r>
      <w:r>
        <w:rPr>
          <w:rFonts w:hint="eastAsia" w:ascii="黑体" w:hAnsi="宋体" w:eastAsia="黑体" w:cs="黑体"/>
          <w:b/>
          <w:bCs w:val="0"/>
          <w:sz w:val="28"/>
          <w:szCs w:val="28"/>
          <w:lang w:val="en-US"/>
        </w:rPr>
        <w:t xml:space="preserve">    </w:t>
      </w:r>
    </w:p>
    <w:p>
      <w:pPr>
        <w:pStyle w:val="2"/>
        <w:widowControl/>
        <w:snapToGrid w:val="0"/>
        <w:ind w:left="0" w:firstLine="560" w:firstLineChars="200"/>
        <w:rPr>
          <w:sz w:val="28"/>
          <w:szCs w:val="28"/>
          <w:lang w:val="en-US"/>
        </w:rPr>
      </w:pPr>
      <w:r>
        <w:rPr>
          <w:sz w:val="28"/>
          <w:szCs w:val="28"/>
          <w:lang w:eastAsia="zh-CN"/>
        </w:rPr>
        <w:t>土地管理部门收取的耕地开垦费，必须按照量入为出的原则专项用于耕地开发、土地整理和滩涂围垦，对实施经国务院或省人民政府批准的补充耕地方案的耕地开垦项目、列入省级土地开发整理计划的耕地开垦项目和土地整理项目，由省土地行政主管部门根据开垦耕地项目的工期、开垦进度和新开垦耕地的质量</w:t>
      </w:r>
      <w:r>
        <w:rPr>
          <w:sz w:val="28"/>
          <w:szCs w:val="28"/>
          <w:lang w:val="en-US"/>
        </w:rPr>
        <w:t xml:space="preserve">(原则上按开工时20%、工程实施过程60%、工程竣工验收合格后20%)制定资金拨补计划，经省财政部门审核后，通过上下级财政专户分期拨付给项目所在地(市)或县(市、区)土地行政主管部门，专项用于耕地开垦。根据新开垦耕地的质量，耕地开垦费的拨补标准为：    </w:t>
      </w:r>
    </w:p>
    <w:p>
      <w:pPr>
        <w:pStyle w:val="2"/>
        <w:widowControl/>
        <w:snapToGrid w:val="0"/>
        <w:ind w:left="0" w:firstLine="560" w:firstLineChars="200"/>
        <w:rPr>
          <w:sz w:val="28"/>
          <w:szCs w:val="28"/>
          <w:lang w:val="en-US"/>
        </w:rPr>
      </w:pPr>
      <w:r>
        <w:rPr>
          <w:sz w:val="28"/>
          <w:szCs w:val="28"/>
          <w:lang w:val="en-US"/>
        </w:rPr>
        <w:t xml:space="preserve">(一)开垦水田的，每公顷60000—120000元(每亩4000—8000元)；    </w:t>
      </w:r>
    </w:p>
    <w:p>
      <w:pPr>
        <w:pStyle w:val="2"/>
        <w:widowControl/>
        <w:snapToGrid w:val="0"/>
        <w:ind w:left="0" w:firstLine="560" w:firstLineChars="200"/>
        <w:rPr>
          <w:sz w:val="28"/>
          <w:szCs w:val="28"/>
          <w:lang w:val="en-US"/>
        </w:rPr>
      </w:pPr>
      <w:r>
        <w:rPr>
          <w:sz w:val="28"/>
          <w:szCs w:val="28"/>
          <w:lang w:val="en-US"/>
        </w:rPr>
        <w:t xml:space="preserve">(二)开垦旱耕地的，每公顷30000—45000元(每亩2000—3000元)；    </w:t>
      </w:r>
    </w:p>
    <w:p>
      <w:pPr>
        <w:pStyle w:val="2"/>
        <w:widowControl/>
        <w:snapToGrid w:val="0"/>
        <w:ind w:left="0" w:firstLine="560" w:firstLineChars="200"/>
        <w:rPr>
          <w:sz w:val="28"/>
          <w:szCs w:val="28"/>
          <w:lang w:val="en-US"/>
        </w:rPr>
      </w:pPr>
      <w:r>
        <w:rPr>
          <w:sz w:val="28"/>
          <w:szCs w:val="28"/>
          <w:lang w:eastAsia="zh-CN"/>
        </w:rPr>
        <w:t>新开耕地的质量等级标准由省土地行政主管部门会同省农业行政主管部门另行规定。</w:t>
      </w:r>
      <w:r>
        <w:rPr>
          <w:sz w:val="28"/>
          <w:szCs w:val="28"/>
          <w:lang w:val="en-US"/>
        </w:rPr>
        <w:t xml:space="preserve">    </w:t>
      </w:r>
    </w:p>
    <w:p>
      <w:pPr>
        <w:pStyle w:val="2"/>
        <w:widowControl/>
        <w:snapToGrid w:val="0"/>
        <w:ind w:left="0" w:firstLine="560" w:firstLineChars="200"/>
        <w:rPr>
          <w:sz w:val="28"/>
          <w:szCs w:val="28"/>
          <w:lang w:val="en-US"/>
        </w:rPr>
      </w:pPr>
      <w:r>
        <w:rPr>
          <w:sz w:val="28"/>
          <w:szCs w:val="28"/>
          <w:lang w:eastAsia="zh-CN"/>
        </w:rPr>
        <w:t>本规定自发布之日起施行。省政府</w:t>
      </w:r>
      <w:r>
        <w:rPr>
          <w:sz w:val="28"/>
          <w:szCs w:val="28"/>
          <w:lang w:val="en-US"/>
        </w:rPr>
        <w:t>1993年发布的省长5号令规定的耕地开发专项基金不再征收。</w:t>
      </w:r>
    </w:p>
    <w:p/>
    <w:sectPr>
      <w:pgSz w:w="11906" w:h="16838"/>
      <w:pgMar w:top="1440" w:right="1800" w:bottom="1440" w:left="1800" w:header="851" w:footer="992"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黑体">
    <w:panose1 w:val="02010609060101010101"/>
    <w:charset w:val="86"/>
    <w:family w:val="auto"/>
    <w:pitch w:val="variable"/>
    <w:sig w:usb0="800002BF" w:usb1="38CF7CFA" w:usb2="00000016" w:usb3="00000000" w:csb0="00040001" w:csb1="00000000"/>
  </w:font>
  <w:font w:name="@宋体">
    <w:panose1 w:val="02010600030101010101"/>
    <w:charset w:val="86"/>
    <w:family w:val="auto"/>
    <w:pitch w:val="variable"/>
    <w:sig w:usb0="00000003" w:usb1="288F0000" w:usb2="00000006" w:usb3="00000000" w:csb0="00040001" w:csb1="00000000"/>
  </w:font>
  <w:font w:name="Courier New">
    <w:panose1 w:val="020703090202050204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9A1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Times New Roman"/>
      <w:kern w:val="2"/>
      <w:sz w:val="21"/>
      <w:szCs w:val="2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林芳</cp:lastModifiedBy>
  <dcterms:modified xsi:type="dcterms:W3CDTF">2022-05-12T07:20:27Z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